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D605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D60533" w:rsidRPr="00D60533">
              <w:rPr>
                <w:rFonts w:asciiTheme="majorHAnsi" w:hAnsiTheme="majorHAnsi" w:cs="Arial"/>
                <w:b/>
                <w:sz w:val="18"/>
                <w:szCs w:val="18"/>
              </w:rPr>
              <w:t>Polymer Waste</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07DA7">
                    <w:rPr>
                      <w:rFonts w:asciiTheme="majorHAnsi" w:hAnsiTheme="majorHAnsi" w:cs="Arial"/>
                      <w:b/>
                      <w:sz w:val="18"/>
                      <w:szCs w:val="18"/>
                    </w:rPr>
                  </w:r>
                  <w:r w:rsidR="00007DA7">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60533">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6053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63E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E86">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63E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E86">
              <w:rPr>
                <w:rFonts w:asciiTheme="majorHAnsi" w:hAnsiTheme="majorHAnsi"/>
                <w:b/>
                <w:sz w:val="18"/>
                <w:szCs w:val="18"/>
              </w:rPr>
              <w:t>33,75</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63E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E8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E86">
              <w:rPr>
                <w:rFonts w:asciiTheme="majorHAnsi" w:hAnsiTheme="majorHAnsi" w:cs="Arial"/>
                <w:b/>
                <w:sz w:val="18"/>
                <w:szCs w:val="18"/>
              </w:rPr>
              <w:t>53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6053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E86">
              <w:rPr>
                <w:rFonts w:asciiTheme="majorHAnsi" w:hAnsiTheme="majorHAnsi" w:cs="Arial"/>
                <w:b/>
                <w:sz w:val="18"/>
                <w:szCs w:val="18"/>
              </w:rPr>
              <w:t>86,75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sidRPr="00D60533">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sidRPr="00D60533">
              <w:rPr>
                <w:rFonts w:asciiTheme="majorHAnsi" w:hAnsiTheme="majorHAnsi" w:cs="Arial"/>
                <w:b/>
                <w:sz w:val="18"/>
                <w:szCs w:val="18"/>
              </w:rPr>
              <w:t>Chemistry / Study Track: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sidRPr="00D60533">
              <w:rPr>
                <w:rFonts w:asciiTheme="majorHAnsi" w:hAnsiTheme="majorHAnsi" w:cs="Arial"/>
                <w:b/>
                <w:sz w:val="18"/>
                <w:szCs w:val="18"/>
              </w:rPr>
              <w:t>Majda Srabović,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sidRPr="00D60533">
              <w:rPr>
                <w:rFonts w:asciiTheme="majorHAnsi" w:hAnsiTheme="majorHAnsi" w:cs="Arial"/>
                <w:b/>
                <w:sz w:val="18"/>
                <w:szCs w:val="18"/>
              </w:rPr>
              <w:t>The course aims to familiarize students with polymers, the sources of polymer waste, methods for preparing polymer waste for disposal, and waste management technologies, as well as to develop their ability to select appropriate technologies for the recycling and disposal of polymer waste (plastics and rubber).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sidRPr="00D60533">
              <w:rPr>
                <w:rFonts w:asciiTheme="majorHAnsi" w:hAnsiTheme="majorHAnsi" w:cs="Arial"/>
                <w:b/>
                <w:sz w:val="18"/>
                <w:szCs w:val="18"/>
              </w:rPr>
              <w:t>By the end of the semester, successful students who have consistently fulfilled their obligations throughout the teaching period will be able to independently address issues related to the efficient management of polymer waste in a manner that generates economic benefits and protects the environment from pollution. They will be able to apply knowledge in the field of waste management through the use of various polymer recovery technologies, depending on polymer characteristics, with the aim of reducing the amount of waste requiring disposal, decreasing the use of natural resources employed in polymer production, and protecting the environment.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sidRPr="00D60533">
              <w:rPr>
                <w:rFonts w:asciiTheme="majorHAnsi" w:hAnsiTheme="majorHAnsi" w:cs="Arial"/>
                <w:b/>
                <w:sz w:val="18"/>
                <w:szCs w:val="18"/>
              </w:rPr>
              <w:t>Introduction to polymer chemistry; types of polymers. Application, classification, and synthesis of polymers. Structural properties of polymer molecules, molecular conformation and configuration, and polymer nomenclature. Polymerization reactions; homogeneous and heterogeneous polymer waste. Polymer waste and its impact on health and the environment. Biodegradable polymers. Basic principles of polymer waste management. Polymer waste pretreatment procedures: separation, washing, and grinding. Mechanical recycling: technological processes. Chemical recycling: technological processes. Energy recovery. Incineration: technological processes. Chemical and mechanical recycling of PE and PET. Rubber recycling. Characterization of recycled materials by TGA and FTIR spectroscopy.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sidRPr="00D60533">
              <w:rPr>
                <w:rFonts w:asciiTheme="majorHAnsi" w:hAnsiTheme="majorHAnsi" w:cs="Arial"/>
                <w:b/>
                <w:sz w:val="18"/>
                <w:szCs w:val="18"/>
              </w:rPr>
              <w:t>For the purpose of effective course implementation and the attainment of the expected course objectives and student competencies by the end of the semester, various teaching methods are employed, including lectures (L) supported by multimedia resources, active learning techniques, and the active participation of students, as well as individual seminar papers and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60533" w:rsidRPr="00D60533" w:rsidRDefault="006D5B9B" w:rsidP="00D605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sidRPr="00D60533">
              <w:rPr>
                <w:rFonts w:asciiTheme="majorHAnsi" w:hAnsiTheme="majorHAnsi" w:cs="Arial"/>
                <w:b/>
                <w:sz w:val="18"/>
                <w:szCs w:val="18"/>
              </w:rPr>
              <w:t>Tests, seminar paper, final examination, resit examination, and additional resit examination. During the semester, students take two tests, each carrying a maximum of 25 points. Both tests are administered in written form and include tasks and questions relating exclusively to the material covered between the two tests. The final examination is conducted in written/oral form and consists of tasks and questions covering the entire course content delivered during the course, with a maximum of 25 points. As part of the pre-examination requirements, students are required to prepare and present a seminar paper worth a maximum of 15 points. Throughout the semester, the instructor monitors each student’s attendance and engagement, which carry 10 points.</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Assessment criteria</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Maximum number of points</w:t>
            </w:r>
            <w:r w:rsidRPr="00D60533">
              <w:rPr>
                <w:rFonts w:asciiTheme="majorHAnsi" w:hAnsiTheme="majorHAnsi" w:cs="Arial"/>
                <w:b/>
                <w:sz w:val="18"/>
                <w:szCs w:val="18"/>
              </w:rPr>
              <w:tab/>
              <w:t>Minimum passing points</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Class participation and engagement</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10</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6</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Final examination</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25</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14</w:t>
            </w:r>
            <w:r>
              <w:rPr>
                <w:rFonts w:asciiTheme="majorHAnsi" w:hAnsiTheme="majorHAnsi" w:cs="Arial"/>
                <w:b/>
                <w:sz w:val="18"/>
                <w:szCs w:val="18"/>
              </w:rPr>
              <w:t xml:space="preserve">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Test I</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25</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13</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Test II</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25</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13</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Seminar paper</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15</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9</w:t>
            </w:r>
          </w:p>
          <w:p w:rsidR="00CB72ED" w:rsidRPr="00B96B4F"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Total</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100</w:t>
            </w:r>
            <w:r w:rsidRPr="00D60533">
              <w:rPr>
                <w:rFonts w:asciiTheme="majorHAnsi" w:hAnsiTheme="majorHAnsi" w:cs="Arial"/>
                <w:b/>
                <w:sz w:val="18"/>
                <w:szCs w:val="18"/>
              </w:rPr>
              <w:tab/>
            </w:r>
            <w:r>
              <w:rPr>
                <w:rFonts w:asciiTheme="majorHAnsi" w:hAnsiTheme="majorHAnsi" w:cs="Arial"/>
                <w:b/>
                <w:sz w:val="18"/>
                <w:szCs w:val="18"/>
              </w:rPr>
              <w:t xml:space="preserve">                                          </w:t>
            </w:r>
            <w:r w:rsidRPr="00D60533">
              <w:rPr>
                <w:rFonts w:asciiTheme="majorHAnsi" w:hAnsiTheme="majorHAnsi" w:cs="Arial"/>
                <w:b/>
                <w:sz w:val="18"/>
                <w:szCs w:val="18"/>
              </w:rPr>
              <w:t>55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60533" w:rsidRPr="00D60533" w:rsidRDefault="006D5B9B" w:rsidP="00D605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sidRPr="00D60533">
              <w:rPr>
                <w:rFonts w:asciiTheme="majorHAnsi" w:hAnsiTheme="majorHAnsi" w:cs="Arial"/>
                <w:b/>
                <w:sz w:val="18"/>
                <w:szCs w:val="18"/>
              </w:rPr>
              <w:t xml:space="preserve">Points earned                    Grade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 0-54                             5                                 F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55 – 64                        6                                 E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65 – 74                        7                                 D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75 – 84                        8                                 C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85– 94                         9                                 B </w:t>
            </w:r>
          </w:p>
          <w:p w:rsidR="00CB72ED" w:rsidRPr="00B96B4F"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60533" w:rsidRPr="00D60533" w:rsidRDefault="006D5B9B" w:rsidP="00D6053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sidRPr="00D60533">
              <w:rPr>
                <w:rFonts w:asciiTheme="majorHAnsi" w:hAnsiTheme="majorHAnsi" w:cs="Arial"/>
                <w:b/>
                <w:sz w:val="18"/>
                <w:szCs w:val="18"/>
              </w:rPr>
              <w:t xml:space="preserve">1. Z.Iličković, Z.Ademovic, J.suljagic, Polimeri i polimerizacijski procesi, 2017.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2. I.A.Vujkovic, Polimerna i kombinovana ambalaža, 1997. </w:t>
            </w:r>
          </w:p>
          <w:p w:rsidR="00D60533" w:rsidRPr="00D60533"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3. A. L. Andrady, «Plastics and the Enviroment», J.Wiley &amp; Sons, Hoboken, New Jersey, 2003.(pdf) </w:t>
            </w:r>
          </w:p>
          <w:p w:rsidR="00CB72ED" w:rsidRPr="00B96B4F" w:rsidRDefault="00D60533" w:rsidP="00D60533">
            <w:pPr>
              <w:pStyle w:val="NoSpacing"/>
              <w:rPr>
                <w:rFonts w:asciiTheme="majorHAnsi" w:hAnsiTheme="majorHAnsi" w:cs="Arial"/>
                <w:b/>
                <w:sz w:val="18"/>
                <w:szCs w:val="18"/>
              </w:rPr>
            </w:pPr>
            <w:r w:rsidRPr="00D60533">
              <w:rPr>
                <w:rFonts w:asciiTheme="majorHAnsi" w:hAnsiTheme="majorHAnsi" w:cs="Arial"/>
                <w:b/>
                <w:sz w:val="18"/>
                <w:szCs w:val="18"/>
              </w:rPr>
              <w:t xml:space="preserve">4. Raju Francis, Recycling of Polymers Methods, Characterization and Applications, J.Wiley &amp; Sons, 2017 (pdf)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60533" w:rsidRPr="00D60533">
              <w:rPr>
                <w:rFonts w:asciiTheme="majorHAnsi" w:hAnsiTheme="majorHAnsi" w:cs="Arial"/>
                <w:b/>
                <w:sz w:val="18"/>
                <w:szCs w:val="18"/>
              </w:rPr>
              <w:t xml:space="preserve">Francesco Paolo La Mantia, 1996, Recycling of PVC and Mixed Plastic Waste, ChemTec Publishing   https://books.google.ba/books - Vannessa Goodship 2007 Introduction to Plastics Recycling, Second Edition, Smithers </w:t>
            </w:r>
            <w:r w:rsidR="00D60533" w:rsidRPr="00D60533">
              <w:rPr>
                <w:rFonts w:asciiTheme="majorHAnsi" w:hAnsiTheme="majorHAnsi" w:cs="Arial"/>
                <w:b/>
                <w:sz w:val="18"/>
                <w:szCs w:val="18"/>
              </w:rPr>
              <w:lastRenderedPageBreak/>
              <w:t xml:space="preserve">Rapra Technology Limited   A. Azapagic, A. Emsley, I. Hamerton ”Polymers, the Enviromental and Sustanible Development” J. Wiley &amp; Sons, N.Y. 2003. J.Scheirs, Polymer Recycling: Science, Technology and Applications, J.Wiley &amp; Sons, Brisbane, 2001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533">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363E8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363E86">
              <w:rPr>
                <w:rFonts w:asciiTheme="majorHAnsi" w:hAnsiTheme="majorHAnsi" w:cs="Arial"/>
                <w:b/>
                <w:sz w:val="18"/>
                <w:szCs w:val="18"/>
              </w:rPr>
            </w:r>
            <w:r w:rsidRPr="00363E86">
              <w:rPr>
                <w:rFonts w:asciiTheme="majorHAnsi" w:hAnsiTheme="majorHAnsi" w:cs="Arial"/>
                <w:b/>
                <w:sz w:val="18"/>
                <w:szCs w:val="18"/>
              </w:rPr>
              <w:fldChar w:fldCharType="separate"/>
            </w:r>
            <w:r w:rsidR="00FB48B6" w:rsidRPr="00363E86">
              <w:rPr>
                <w:rFonts w:asciiTheme="majorHAnsi" w:hAnsiTheme="majorHAnsi" w:cs="Arial"/>
                <w:b/>
                <w:spacing w:val="216"/>
                <w:sz w:val="18"/>
                <w:szCs w:val="18"/>
              </w:rPr>
              <w:t>    </w:t>
            </w:r>
            <w:r w:rsidR="00FB48B6" w:rsidRPr="00363E86">
              <w:rPr>
                <w:rFonts w:asciiTheme="majorHAnsi" w:hAnsiTheme="majorHAnsi" w:cs="Arial"/>
                <w:b/>
                <w:spacing w:val="-1"/>
                <w:sz w:val="18"/>
                <w:szCs w:val="18"/>
              </w:rPr>
              <w:t> </w:t>
            </w:r>
            <w:r w:rsidRPr="00363E86">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DA7" w:rsidRDefault="00007DA7">
      <w:pPr>
        <w:spacing w:line="240" w:lineRule="auto"/>
      </w:pPr>
      <w:r>
        <w:separator/>
      </w:r>
    </w:p>
  </w:endnote>
  <w:endnote w:type="continuationSeparator" w:id="0">
    <w:p w:rsidR="00007DA7" w:rsidRDefault="00007D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33AC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33AC3">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33AC3">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DA7" w:rsidRDefault="00007DA7">
      <w:pPr>
        <w:spacing w:after="0"/>
      </w:pPr>
      <w:r>
        <w:separator/>
      </w:r>
    </w:p>
  </w:footnote>
  <w:footnote w:type="continuationSeparator" w:id="0">
    <w:p w:rsidR="00007DA7" w:rsidRDefault="00007D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07DA7"/>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63E86"/>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14E2"/>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56EE"/>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AC3"/>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0533"/>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7473B4-4AAB-4240-82BE-7BCFB593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EC4A8-82B3-46C7-B40E-4EE1B11F6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2026-03-17T07:35:00Z</dcterms:created>
  <dcterms:modified xsi:type="dcterms:W3CDTF">2026-03-17T07:35:00Z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